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Arial" w:hAnsi="Arial" w:eastAsia="Arial"/>
          <w:b/>
          <w:color w:val="1F3A5F"/>
          <w:sz w:val="40"/>
        </w:rPr>
        <w:t>Board brief: IT director</w:t>
      </w:r>
    </w:p>
    <w:p>
      <w:pPr>
        <w:spacing w:after="200"/>
      </w:pPr>
      <w:r>
        <w:rPr>
          <w:rFonts w:ascii="Arial" w:hAnsi="Arial" w:eastAsia="Arial"/>
          <w:color w:val="6B7280"/>
          <w:sz w:val="22"/>
        </w:rPr>
        <w:t>Three questions a recruiter puts to the board before the search starts</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3402"/>
        <w:gridCol w:w="6236"/>
      </w:tblGrid>
      <w:tr>
        <w:trPr>
          <w:cantSplit/>
        </w:trPr>
        <w:tc>
          <w:tcPr>
            <w:tcW w:type="dxa" w:w="3402"/>
            <w:shd w:val="clear" w:color="auto" w:fill="F3F4F6"/>
          </w:tcPr>
          <w:p>
            <w:pPr>
              <w:spacing w:after="20"/>
            </w:pPr>
            <w:r>
              <w:rPr>
                <w:b/>
              </w:rPr>
            </w:r>
            <w:r>
              <w:rPr>
                <w:rFonts w:ascii="Arial" w:hAnsi="Arial" w:eastAsia="Arial"/>
                <w:b/>
                <w:i w:val="0"/>
                <w:sz w:val="18"/>
              </w:rPr>
              <w:t>Company</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Position</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Meeting date</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Board members present</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Led by (recruiter / headhunter)</w:t>
            </w:r>
          </w:p>
        </w:tc>
        <w:tc>
          <w:tcPr>
            <w:tcW w:type="dxa" w:w="6236"/>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r>
        <w:rPr>
          <w:rFonts w:ascii="Arial" w:hAnsi="Arial" w:eastAsia="Arial"/>
          <w:b w:val="0"/>
          <w:i w:val="0"/>
          <w:sz w:val="20"/>
        </w:rPr>
        <w:t>Complete this in one meeting, with the whole board present. Afterwards, email the written answers back for confirmation. Do not post the job ad or start sourcing until they are confirmed.</w:t>
      </w:r>
    </w:p>
    <w:p>
      <w:pPr>
        <w:pStyle w:val="Heading1"/>
      </w:pPr>
      <w:r>
        <w:t>1. What should change within 18 months, and how will we know?</w:t>
      </w:r>
    </w:p>
    <w:p>
      <w:r>
        <w:rPr>
          <w:rFonts w:ascii="Arial" w:hAnsi="Arial" w:eastAsia="Arial"/>
          <w:b w:val="0"/>
          <w:i w:val="0"/>
          <w:sz w:val="20"/>
        </w:rPr>
        <w:t>Three outcomes at most, each with a number and a deadline. If the board gives goals and none has a number, pause the process.</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020"/>
        <w:gridCol w:w="3175"/>
        <w:gridCol w:w="2608"/>
        <w:gridCol w:w="1304"/>
        <w:gridCol w:w="1531"/>
      </w:tblGrid>
      <w:tr>
        <w:trPr>
          <w:cantSplit/>
          <w:tblHeader/>
        </w:trPr>
        <w:tc>
          <w:tcPr>
            <w:tcW w:type="dxa" w:w="1020"/>
            <w:shd w:val="clear" w:color="auto" w:fill="DCE6F1"/>
          </w:tcPr>
          <w:p>
            <w:pPr>
              <w:spacing w:after="20"/>
            </w:pPr>
            <w:r/>
            <w:r>
              <w:rPr>
                <w:rFonts w:ascii="Arial" w:hAnsi="Arial" w:eastAsia="Arial"/>
                <w:b/>
                <w:i w:val="0"/>
                <w:sz w:val="18"/>
              </w:rPr>
              <w:t>No.</w:t>
            </w:r>
          </w:p>
        </w:tc>
        <w:tc>
          <w:tcPr>
            <w:tcW w:type="dxa" w:w="3175"/>
            <w:shd w:val="clear" w:color="auto" w:fill="DCE6F1"/>
          </w:tcPr>
          <w:p>
            <w:pPr>
              <w:spacing w:after="20"/>
            </w:pPr>
            <w:r/>
            <w:r>
              <w:rPr>
                <w:rFonts w:ascii="Arial" w:hAnsi="Arial" w:eastAsia="Arial"/>
                <w:b/>
                <w:i w:val="0"/>
                <w:sz w:val="18"/>
              </w:rPr>
              <w:t>Outcome</w:t>
            </w:r>
          </w:p>
        </w:tc>
        <w:tc>
          <w:tcPr>
            <w:tcW w:type="dxa" w:w="2608"/>
            <w:shd w:val="clear" w:color="auto" w:fill="DCE6F1"/>
          </w:tcPr>
          <w:p>
            <w:pPr>
              <w:spacing w:after="20"/>
            </w:pPr>
            <w:r/>
            <w:r>
              <w:rPr>
                <w:rFonts w:ascii="Arial" w:hAnsi="Arial" w:eastAsia="Arial"/>
                <w:b/>
                <w:i w:val="0"/>
                <w:sz w:val="18"/>
              </w:rPr>
              <w:t>Measure (number and baseline)</w:t>
            </w:r>
          </w:p>
        </w:tc>
        <w:tc>
          <w:tcPr>
            <w:tcW w:type="dxa" w:w="1304"/>
            <w:shd w:val="clear" w:color="auto" w:fill="DCE6F1"/>
          </w:tcPr>
          <w:p>
            <w:pPr>
              <w:spacing w:after="20"/>
            </w:pPr>
            <w:r/>
            <w:r>
              <w:rPr>
                <w:rFonts w:ascii="Arial" w:hAnsi="Arial" w:eastAsia="Arial"/>
                <w:b/>
                <w:i w:val="0"/>
                <w:sz w:val="18"/>
              </w:rPr>
              <w:t>Deadline</w:t>
            </w:r>
          </w:p>
        </w:tc>
        <w:tc>
          <w:tcPr>
            <w:tcW w:type="dxa" w:w="1531"/>
            <w:shd w:val="clear" w:color="auto" w:fill="DCE6F1"/>
          </w:tcPr>
          <w:p>
            <w:pPr>
              <w:spacing w:after="20"/>
            </w:pPr>
            <w:r/>
            <w:r>
              <w:rPr>
                <w:rFonts w:ascii="Arial" w:hAnsi="Arial" w:eastAsia="Arial"/>
                <w:b/>
                <w:i w:val="0"/>
                <w:sz w:val="18"/>
              </w:rPr>
              <w:t>Who confirms</w:t>
            </w:r>
          </w:p>
        </w:tc>
      </w:tr>
      <w:tr>
        <w:trPr>
          <w:cantSplit/>
          <w:trHeight w:val="454"/>
        </w:trPr>
        <w:tc>
          <w:tcPr>
            <w:tcW w:type="dxa" w:w="1020"/>
          </w:tcPr>
          <w:p>
            <w:pPr>
              <w:spacing w:after="20"/>
            </w:pPr>
            <w:r/>
            <w:r>
              <w:rPr>
                <w:rFonts w:ascii="Arial" w:hAnsi="Arial" w:eastAsia="Arial"/>
                <w:b w:val="0"/>
                <w:i/>
                <w:color w:val="6B7280"/>
                <w:sz w:val="18"/>
              </w:rPr>
              <w:t>(example)</w:t>
            </w:r>
          </w:p>
        </w:tc>
        <w:tc>
          <w:tcPr>
            <w:tcW w:type="dxa" w:w="3175"/>
          </w:tcPr>
          <w:p>
            <w:pPr>
              <w:spacing w:after="20"/>
            </w:pPr>
            <w:r/>
            <w:r>
              <w:rPr>
                <w:rFonts w:ascii="Arial" w:hAnsi="Arial" w:eastAsia="Arial"/>
                <w:b w:val="0"/>
                <w:i/>
                <w:color w:val="6B7280"/>
                <w:sz w:val="18"/>
              </w:rPr>
              <w:t>Reduce annual cost of running systems</w:t>
            </w:r>
          </w:p>
        </w:tc>
        <w:tc>
          <w:tcPr>
            <w:tcW w:type="dxa" w:w="2608"/>
          </w:tcPr>
          <w:p>
            <w:pPr>
              <w:spacing w:after="20"/>
            </w:pPr>
            <w:r/>
            <w:r>
              <w:rPr>
                <w:rFonts w:ascii="Arial" w:hAnsi="Arial" w:eastAsia="Arial"/>
                <w:b w:val="0"/>
                <w:i/>
                <w:color w:val="6B7280"/>
                <w:sz w:val="18"/>
              </w:rPr>
              <w:t>−15% against the baseline year</w:t>
            </w:r>
          </w:p>
        </w:tc>
        <w:tc>
          <w:tcPr>
            <w:tcW w:type="dxa" w:w="1304"/>
          </w:tcPr>
          <w:p>
            <w:pPr>
              <w:spacing w:after="20"/>
            </w:pPr>
            <w:r/>
            <w:r>
              <w:rPr>
                <w:rFonts w:ascii="Arial" w:hAnsi="Arial" w:eastAsia="Arial"/>
                <w:b w:val="0"/>
                <w:i/>
                <w:color w:val="6B7280"/>
                <w:sz w:val="18"/>
              </w:rPr>
              <w:t>31 Dec 2027</w:t>
            </w:r>
          </w:p>
        </w:tc>
        <w:tc>
          <w:tcPr>
            <w:tcW w:type="dxa" w:w="1531"/>
          </w:tcPr>
          <w:p>
            <w:pPr>
              <w:spacing w:after="20"/>
            </w:pPr>
            <w:r/>
            <w:r>
              <w:rPr>
                <w:rFonts w:ascii="Arial" w:hAnsi="Arial" w:eastAsia="Arial"/>
                <w:b w:val="0"/>
                <w:i/>
                <w:color w:val="6B7280"/>
                <w:sz w:val="18"/>
              </w:rPr>
              <w:t>CFO</w:t>
            </w:r>
          </w:p>
        </w:tc>
      </w:tr>
      <w:tr>
        <w:trPr>
          <w:cantSplit/>
          <w:trHeight w:val="454"/>
        </w:trPr>
        <w:tc>
          <w:tcPr>
            <w:tcW w:type="dxa" w:w="1020"/>
          </w:tcPr>
          <w:p>
            <w:pPr>
              <w:spacing w:after="20"/>
            </w:pPr>
            <w:r/>
            <w:r>
              <w:rPr>
                <w:rFonts w:ascii="Arial" w:hAnsi="Arial" w:eastAsia="Arial"/>
                <w:b w:val="0"/>
                <w:i w:val="0"/>
                <w:sz w:val="18"/>
              </w:rPr>
              <w:t>1</w:t>
            </w:r>
          </w:p>
        </w:tc>
        <w:tc>
          <w:tcPr>
            <w:tcW w:type="dxa" w:w="3175"/>
          </w:tcPr>
          <w:p>
            <w:pPr>
              <w:spacing w:after="20"/>
            </w:pPr>
            <w:r/>
            <w:r>
              <w:rPr>
                <w:rFonts w:ascii="Arial" w:hAnsi="Arial" w:eastAsia="Arial"/>
                <w:b w:val="0"/>
                <w:i w:val="0"/>
                <w:sz w:val="18"/>
              </w:rPr>
            </w:r>
          </w:p>
        </w:tc>
        <w:tc>
          <w:tcPr>
            <w:tcW w:type="dxa" w:w="2608"/>
          </w:tcPr>
          <w:p>
            <w:pPr>
              <w:spacing w:after="20"/>
            </w:pPr>
            <w:r/>
            <w:r>
              <w:rPr>
                <w:rFonts w:ascii="Arial" w:hAnsi="Arial" w:eastAsia="Arial"/>
                <w:b w:val="0"/>
                <w:i w:val="0"/>
                <w:sz w:val="18"/>
              </w:rPr>
            </w:r>
          </w:p>
        </w:tc>
        <w:tc>
          <w:tcPr>
            <w:tcW w:type="dxa" w:w="1304"/>
          </w:tcPr>
          <w:p>
            <w:pPr>
              <w:spacing w:after="20"/>
            </w:pPr>
            <w:r/>
            <w:r>
              <w:rPr>
                <w:rFonts w:ascii="Arial" w:hAnsi="Arial" w:eastAsia="Arial"/>
                <w:b w:val="0"/>
                <w:i w:val="0"/>
                <w:sz w:val="18"/>
              </w:rPr>
            </w:r>
          </w:p>
        </w:tc>
        <w:tc>
          <w:tcPr>
            <w:tcW w:type="dxa" w:w="1531"/>
          </w:tcPr>
          <w:p>
            <w:pPr>
              <w:spacing w:after="20"/>
            </w:pPr>
            <w:r/>
            <w:r>
              <w:rPr>
                <w:rFonts w:ascii="Arial" w:hAnsi="Arial" w:eastAsia="Arial"/>
                <w:b w:val="0"/>
                <w:i w:val="0"/>
                <w:sz w:val="18"/>
              </w:rPr>
            </w:r>
          </w:p>
        </w:tc>
      </w:tr>
      <w:tr>
        <w:trPr>
          <w:cantSplit/>
          <w:trHeight w:val="454"/>
        </w:trPr>
        <w:tc>
          <w:tcPr>
            <w:tcW w:type="dxa" w:w="1020"/>
          </w:tcPr>
          <w:p>
            <w:pPr>
              <w:spacing w:after="20"/>
            </w:pPr>
            <w:r/>
            <w:r>
              <w:rPr>
                <w:rFonts w:ascii="Arial" w:hAnsi="Arial" w:eastAsia="Arial"/>
                <w:b w:val="0"/>
                <w:i w:val="0"/>
                <w:sz w:val="18"/>
              </w:rPr>
              <w:t>2</w:t>
            </w:r>
          </w:p>
        </w:tc>
        <w:tc>
          <w:tcPr>
            <w:tcW w:type="dxa" w:w="3175"/>
          </w:tcPr>
          <w:p>
            <w:pPr>
              <w:spacing w:after="20"/>
            </w:pPr>
            <w:r/>
            <w:r>
              <w:rPr>
                <w:rFonts w:ascii="Arial" w:hAnsi="Arial" w:eastAsia="Arial"/>
                <w:b w:val="0"/>
                <w:i w:val="0"/>
                <w:sz w:val="18"/>
              </w:rPr>
            </w:r>
          </w:p>
        </w:tc>
        <w:tc>
          <w:tcPr>
            <w:tcW w:type="dxa" w:w="2608"/>
          </w:tcPr>
          <w:p>
            <w:pPr>
              <w:spacing w:after="20"/>
            </w:pPr>
            <w:r/>
            <w:r>
              <w:rPr>
                <w:rFonts w:ascii="Arial" w:hAnsi="Arial" w:eastAsia="Arial"/>
                <w:b w:val="0"/>
                <w:i w:val="0"/>
                <w:sz w:val="18"/>
              </w:rPr>
            </w:r>
          </w:p>
        </w:tc>
        <w:tc>
          <w:tcPr>
            <w:tcW w:type="dxa" w:w="1304"/>
          </w:tcPr>
          <w:p>
            <w:pPr>
              <w:spacing w:after="20"/>
            </w:pPr>
            <w:r/>
            <w:r>
              <w:rPr>
                <w:rFonts w:ascii="Arial" w:hAnsi="Arial" w:eastAsia="Arial"/>
                <w:b w:val="0"/>
                <w:i w:val="0"/>
                <w:sz w:val="18"/>
              </w:rPr>
            </w:r>
          </w:p>
        </w:tc>
        <w:tc>
          <w:tcPr>
            <w:tcW w:type="dxa" w:w="1531"/>
          </w:tcPr>
          <w:p>
            <w:pPr>
              <w:spacing w:after="20"/>
            </w:pPr>
            <w:r/>
            <w:r>
              <w:rPr>
                <w:rFonts w:ascii="Arial" w:hAnsi="Arial" w:eastAsia="Arial"/>
                <w:b w:val="0"/>
                <w:i w:val="0"/>
                <w:sz w:val="18"/>
              </w:rPr>
            </w:r>
          </w:p>
        </w:tc>
      </w:tr>
      <w:tr>
        <w:trPr>
          <w:cantSplit/>
          <w:trHeight w:val="454"/>
        </w:trPr>
        <w:tc>
          <w:tcPr>
            <w:tcW w:type="dxa" w:w="1020"/>
          </w:tcPr>
          <w:p>
            <w:pPr>
              <w:spacing w:after="20"/>
            </w:pPr>
            <w:r/>
            <w:r>
              <w:rPr>
                <w:rFonts w:ascii="Arial" w:hAnsi="Arial" w:eastAsia="Arial"/>
                <w:b w:val="0"/>
                <w:i w:val="0"/>
                <w:sz w:val="18"/>
              </w:rPr>
              <w:t>3</w:t>
            </w:r>
          </w:p>
        </w:tc>
        <w:tc>
          <w:tcPr>
            <w:tcW w:type="dxa" w:w="3175"/>
          </w:tcPr>
          <w:p>
            <w:pPr>
              <w:spacing w:after="20"/>
            </w:pPr>
            <w:r/>
            <w:r>
              <w:rPr>
                <w:rFonts w:ascii="Arial" w:hAnsi="Arial" w:eastAsia="Arial"/>
                <w:b w:val="0"/>
                <w:i w:val="0"/>
                <w:sz w:val="18"/>
              </w:rPr>
            </w:r>
          </w:p>
        </w:tc>
        <w:tc>
          <w:tcPr>
            <w:tcW w:type="dxa" w:w="2608"/>
          </w:tcPr>
          <w:p>
            <w:pPr>
              <w:spacing w:after="20"/>
            </w:pPr>
            <w:r/>
            <w:r>
              <w:rPr>
                <w:rFonts w:ascii="Arial" w:hAnsi="Arial" w:eastAsia="Arial"/>
                <w:b w:val="0"/>
                <w:i w:val="0"/>
                <w:sz w:val="18"/>
              </w:rPr>
            </w:r>
          </w:p>
        </w:tc>
        <w:tc>
          <w:tcPr>
            <w:tcW w:type="dxa" w:w="1304"/>
          </w:tcPr>
          <w:p>
            <w:pPr>
              <w:spacing w:after="20"/>
            </w:pPr>
            <w:r/>
            <w:r>
              <w:rPr>
                <w:rFonts w:ascii="Arial" w:hAnsi="Arial" w:eastAsia="Arial"/>
                <w:b w:val="0"/>
                <w:i w:val="0"/>
                <w:sz w:val="18"/>
              </w:rPr>
            </w:r>
          </w:p>
        </w:tc>
        <w:tc>
          <w:tcPr>
            <w:tcW w:type="dxa" w:w="1531"/>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4819"/>
        <w:gridCol w:w="4819"/>
      </w:tblGrid>
      <w:tr>
        <w:trPr>
          <w:cantSplit/>
          <w:trHeight w:val="680"/>
        </w:trPr>
        <w:tc>
          <w:tcPr>
            <w:tcW w:type="dxa" w:w="4819"/>
            <w:shd w:val="clear" w:color="auto" w:fill="F3F4F6"/>
          </w:tcPr>
          <w:p>
            <w:pPr>
              <w:spacing w:after="20"/>
            </w:pPr>
            <w:r>
              <w:rPr>
                <w:b/>
              </w:rPr>
            </w:r>
            <w:r>
              <w:rPr>
                <w:rFonts w:ascii="Arial" w:hAnsi="Arial" w:eastAsia="Arial"/>
                <w:b/>
                <w:i w:val="0"/>
                <w:sz w:val="18"/>
              </w:rPr>
              <w:t>When goals collide (e.g. cutting costs vs. faster growth), which one wins?</w:t>
            </w:r>
          </w:p>
        </w:tc>
        <w:tc>
          <w:tcPr>
            <w:tcW w:type="dxa" w:w="4819"/>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pPr>
        <w:pStyle w:val="Heading2"/>
      </w:pPr>
      <w:r>
        <w:t>Which model of the role does the board have in mind?</w:t>
      </w:r>
    </w:p>
    <w:p>
      <w:pPr>
        <w:ind w:left="227"/>
      </w:pPr>
      <w:r>
        <w:rPr>
          <w:rFonts w:ascii="Arial" w:hAnsi="Arial" w:eastAsia="Arial"/>
          <w:sz w:val="20"/>
        </w:rPr>
        <w:t>☐  Business leader who helps shape technology decisions</w:t>
      </w:r>
    </w:p>
    <w:p>
      <w:pPr>
        <w:ind w:left="227"/>
      </w:pPr>
      <w:r>
        <w:rPr>
          <w:rFonts w:ascii="Arial" w:hAnsi="Arial" w:eastAsia="Arial"/>
          <w:sz w:val="20"/>
        </w:rPr>
        <w:t>☐  Consultant / adviser to the business</w:t>
      </w:r>
    </w:p>
    <w:p>
      <w:pPr>
        <w:ind w:left="227"/>
      </w:pPr>
      <w:r>
        <w:rPr>
          <w:rFonts w:ascii="Arial" w:hAnsi="Arial" w:eastAsia="Arial"/>
          <w:sz w:val="20"/>
        </w:rPr>
        <w:t>☐  Risk assessor and risk owner</w:t>
      </w:r>
    </w:p>
    <w:p>
      <w:pPr>
        <w:ind w:left="227"/>
      </w:pPr>
      <w:r>
        <w:rPr>
          <w:rFonts w:ascii="Arial" w:hAnsi="Arial" w:eastAsia="Arial"/>
          <w:sz w:val="20"/>
        </w:rPr>
        <w:t>☐  Other (specify): ______________________________</w:t>
      </w:r>
    </w:p>
    <w:p>
      <w:r>
        <w:rPr>
          <w:rFonts w:ascii="Arial" w:hAnsi="Arial" w:eastAsia="Arial"/>
          <w:i/>
          <w:color w:val="6B7280"/>
          <w:sz w:val="17"/>
        </w:rPr>
        <w:t>Context: in Gartner's survey, more than 57% of CIOs must increase productivity and 52% must cut costs. Those are two different jobs. In Foundry's 2026 survey 46% of IT heads see themselves as business leaders, 28% as consultants and 14% as risk assessors.</w:t>
      </w:r>
    </w:p>
    <w:p>
      <w:pPr>
        <w:pStyle w:val="Heading1"/>
      </w:pPr>
      <w:r>
        <w:t>2. Which decisions will they make alone, and which need approval?</w:t>
      </w:r>
    </w:p>
    <w:p>
      <w:r>
        <w:rPr>
          <w:rFonts w:ascii="Arial" w:hAnsi="Arial" w:eastAsia="Arial"/>
          <w:b w:val="0"/>
          <w:i w:val="0"/>
          <w:sz w:val="20"/>
        </w:rPr>
        <w:t>For amounts, write a specific figure. "Full autonomy" without a figure means nothing.</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3628"/>
        <w:gridCol w:w="3005"/>
        <w:gridCol w:w="3005"/>
      </w:tblGrid>
      <w:tr>
        <w:trPr>
          <w:cantSplit/>
          <w:tblHeader/>
        </w:trPr>
        <w:tc>
          <w:tcPr>
            <w:tcW w:type="dxa" w:w="3628"/>
            <w:shd w:val="clear" w:color="auto" w:fill="DCE6F1"/>
          </w:tcPr>
          <w:p>
            <w:pPr>
              <w:spacing w:after="20"/>
            </w:pPr>
            <w:r/>
            <w:r>
              <w:rPr>
                <w:rFonts w:ascii="Arial" w:hAnsi="Arial" w:eastAsia="Arial"/>
                <w:b/>
                <w:i w:val="0"/>
                <w:sz w:val="18"/>
              </w:rPr>
              <w:t>Area</w:t>
            </w:r>
          </w:p>
        </w:tc>
        <w:tc>
          <w:tcPr>
            <w:tcW w:type="dxa" w:w="3005"/>
            <w:shd w:val="clear" w:color="auto" w:fill="DCE6F1"/>
          </w:tcPr>
          <w:p>
            <w:pPr>
              <w:spacing w:after="20"/>
            </w:pPr>
            <w:r/>
            <w:r>
              <w:rPr>
                <w:rFonts w:ascii="Arial" w:hAnsi="Arial" w:eastAsia="Arial"/>
                <w:b/>
                <w:i w:val="0"/>
                <w:sz w:val="18"/>
              </w:rPr>
              <w:t>Decides alone (up to amount)</w:t>
            </w:r>
          </w:p>
        </w:tc>
        <w:tc>
          <w:tcPr>
            <w:tcW w:type="dxa" w:w="3005"/>
            <w:shd w:val="clear" w:color="auto" w:fill="DCE6F1"/>
          </w:tcPr>
          <w:p>
            <w:pPr>
              <w:spacing w:after="20"/>
            </w:pPr>
            <w:r/>
            <w:r>
              <w:rPr>
                <w:rFonts w:ascii="Arial" w:hAnsi="Arial" w:eastAsia="Arial"/>
                <w:b/>
                <w:i w:val="0"/>
                <w:sz w:val="18"/>
              </w:rPr>
              <w:t>Needs approval (whose)</w:t>
            </w:r>
          </w:p>
        </w:tc>
      </w:tr>
      <w:tr>
        <w:trPr>
          <w:cantSplit/>
          <w:trHeight w:val="454"/>
        </w:trPr>
        <w:tc>
          <w:tcPr>
            <w:tcW w:type="dxa" w:w="3628"/>
          </w:tcPr>
          <w:p>
            <w:pPr>
              <w:spacing w:after="20"/>
            </w:pPr>
            <w:r/>
            <w:r>
              <w:rPr>
                <w:rFonts w:ascii="Arial" w:hAnsi="Arial" w:eastAsia="Arial"/>
                <w:b w:val="0"/>
                <w:i w:val="0"/>
                <w:sz w:val="18"/>
              </w:rPr>
              <w:t>Annual IT budget</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r>
        <w:trPr>
          <w:cantSplit/>
          <w:trHeight w:val="454"/>
        </w:trPr>
        <w:tc>
          <w:tcPr>
            <w:tcW w:type="dxa" w:w="3628"/>
          </w:tcPr>
          <w:p>
            <w:pPr>
              <w:spacing w:after="20"/>
            </w:pPr>
            <w:r/>
            <w:r>
              <w:rPr>
                <w:rFonts w:ascii="Arial" w:hAnsi="Arial" w:eastAsia="Arial"/>
                <w:b w:val="0"/>
                <w:i w:val="0"/>
                <w:sz w:val="18"/>
              </w:rPr>
              <w:t>One-off spending (investments)</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r>
        <w:trPr>
          <w:cantSplit/>
          <w:trHeight w:val="454"/>
        </w:trPr>
        <w:tc>
          <w:tcPr>
            <w:tcW w:type="dxa" w:w="3628"/>
          </w:tcPr>
          <w:p>
            <w:pPr>
              <w:spacing w:after="20"/>
            </w:pPr>
            <w:r/>
            <w:r>
              <w:rPr>
                <w:rFonts w:ascii="Arial" w:hAnsi="Arial" w:eastAsia="Arial"/>
                <w:b w:val="0"/>
                <w:i w:val="0"/>
                <w:sz w:val="18"/>
              </w:rPr>
              <w:t>Choosing and changing vendors</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r>
        <w:trPr>
          <w:cantSplit/>
          <w:trHeight w:val="454"/>
        </w:trPr>
        <w:tc>
          <w:tcPr>
            <w:tcW w:type="dxa" w:w="3628"/>
          </w:tcPr>
          <w:p>
            <w:pPr>
              <w:spacing w:after="20"/>
            </w:pPr>
            <w:r/>
            <w:r>
              <w:rPr>
                <w:rFonts w:ascii="Arial" w:hAnsi="Arial" w:eastAsia="Arial"/>
                <w:b w:val="0"/>
                <w:i w:val="0"/>
                <w:sz w:val="18"/>
              </w:rPr>
              <w:t>Hiring and firing in the IT team</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r>
        <w:trPr>
          <w:cantSplit/>
          <w:trHeight w:val="454"/>
        </w:trPr>
        <w:tc>
          <w:tcPr>
            <w:tcW w:type="dxa" w:w="3628"/>
          </w:tcPr>
          <w:p>
            <w:pPr>
              <w:spacing w:after="20"/>
            </w:pPr>
            <w:r/>
            <w:r>
              <w:rPr>
                <w:rFonts w:ascii="Arial" w:hAnsi="Arial" w:eastAsia="Arial"/>
                <w:b w:val="0"/>
                <w:i w:val="0"/>
                <w:sz w:val="18"/>
              </w:rPr>
              <w:t>Systems bought by business units (veto right)</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r>
        <w:trPr>
          <w:cantSplit/>
          <w:trHeight w:val="454"/>
        </w:trPr>
        <w:tc>
          <w:tcPr>
            <w:tcW w:type="dxa" w:w="3628"/>
          </w:tcPr>
          <w:p>
            <w:pPr>
              <w:spacing w:after="20"/>
            </w:pPr>
            <w:r/>
            <w:r>
              <w:rPr>
                <w:rFonts w:ascii="Arial" w:hAnsi="Arial" w:eastAsia="Arial"/>
                <w:b w:val="0"/>
                <w:i w:val="0"/>
                <w:sz w:val="18"/>
              </w:rPr>
              <w:t>Security incident: who declares it and who informs the board</w:t>
            </w:r>
          </w:p>
        </w:tc>
        <w:tc>
          <w:tcPr>
            <w:tcW w:type="dxa" w:w="3005"/>
          </w:tcPr>
          <w:p>
            <w:pPr>
              <w:spacing w:after="20"/>
            </w:pPr>
            <w:r/>
            <w:r>
              <w:rPr>
                <w:rFonts w:ascii="Arial" w:hAnsi="Arial" w:eastAsia="Arial"/>
                <w:b w:val="0"/>
                <w:i w:val="0"/>
                <w:sz w:val="18"/>
              </w:rPr>
            </w:r>
          </w:p>
        </w:tc>
        <w:tc>
          <w:tcPr>
            <w:tcW w:type="dxa" w:w="3005"/>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3402"/>
        <w:gridCol w:w="6236"/>
      </w:tblGrid>
      <w:tr>
        <w:trPr>
          <w:cantSplit/>
          <w:trHeight w:val="454"/>
        </w:trPr>
        <w:tc>
          <w:tcPr>
            <w:tcW w:type="dxa" w:w="3402"/>
            <w:shd w:val="clear" w:color="auto" w:fill="F3F4F6"/>
          </w:tcPr>
          <w:p>
            <w:pPr>
              <w:spacing w:after="20"/>
            </w:pPr>
            <w:r>
              <w:rPr>
                <w:b/>
              </w:rPr>
            </w:r>
            <w:r>
              <w:rPr>
                <w:rFonts w:ascii="Arial" w:hAnsi="Arial" w:eastAsia="Arial"/>
                <w:b/>
                <w:i w:val="0"/>
                <w:sz w:val="18"/>
              </w:rPr>
              <w:t>Reports to</w:t>
            </w:r>
          </w:p>
        </w:tc>
        <w:tc>
          <w:tcPr>
            <w:tcW w:type="dxa" w:w="6236"/>
          </w:tcPr>
          <w:p>
            <w:pPr>
              <w:spacing w:after="20"/>
            </w:pPr>
            <w:r/>
            <w:r>
              <w:rPr>
                <w:rFonts w:ascii="Arial" w:hAnsi="Arial" w:eastAsia="Arial"/>
                <w:b w:val="0"/>
                <w:i w:val="0"/>
                <w:sz w:val="18"/>
              </w:rPr>
            </w:r>
          </w:p>
        </w:tc>
      </w:tr>
      <w:tr>
        <w:trPr>
          <w:cantSplit/>
          <w:trHeight w:val="454"/>
        </w:trPr>
        <w:tc>
          <w:tcPr>
            <w:tcW w:type="dxa" w:w="3402"/>
            <w:shd w:val="clear" w:color="auto" w:fill="F3F4F6"/>
          </w:tcPr>
          <w:p>
            <w:pPr>
              <w:spacing w:after="20"/>
            </w:pPr>
            <w:r>
              <w:rPr>
                <w:b/>
              </w:rPr>
            </w:r>
            <w:r>
              <w:rPr>
                <w:rFonts w:ascii="Arial" w:hAnsi="Arial" w:eastAsia="Arial"/>
                <w:b/>
                <w:i w:val="0"/>
                <w:sz w:val="18"/>
              </w:rPr>
              <w:t>How often they meet the board</w:t>
            </w:r>
          </w:p>
        </w:tc>
        <w:tc>
          <w:tcPr>
            <w:tcW w:type="dxa" w:w="6236"/>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pPr>
        <w:pStyle w:val="Heading1"/>
      </w:pPr>
      <w:r>
        <w:t>3. Who on the board owns cybersecurity, and what does the KSC amendment change?</w:t>
      </w:r>
    </w:p>
    <w:p>
      <w:r>
        <w:rPr>
          <w:rFonts w:ascii="Arial" w:hAnsi="Arial" w:eastAsia="Arial"/>
          <w:b w:val="0"/>
          <w:i w:val="0"/>
          <w:sz w:val="20"/>
        </w:rPr>
        <w:t>The amendment to the Polish National Cybersecurity System Act (KSC), which implements the NIS2 directive, entered into force on 3 April 2026. Before talking to candidates, establish with the board:</w:t>
      </w:r>
    </w:p>
    <w:p>
      <w:pPr>
        <w:ind w:left="227"/>
      </w:pPr>
      <w:r>
        <w:rPr>
          <w:rFonts w:ascii="Arial" w:hAnsi="Arial" w:eastAsia="Arial"/>
          <w:sz w:val="20"/>
        </w:rPr>
        <w:t>☐  Whether the company is a key or important entity (depends on sector and size). Confirmed by: ____________________</w:t>
      </w:r>
    </w:p>
    <w:p>
      <w:pPr>
        <w:ind w:left="227"/>
      </w:pPr>
      <w:r>
        <w:rPr>
          <w:rFonts w:ascii="Arial" w:hAnsi="Arial" w:eastAsia="Arial"/>
          <w:sz w:val="20"/>
        </w:rPr>
        <w:t>☐  Whether the application for entry in the register was filed (deadline per gov.pl: 3 October 2026)</w:t>
      </w:r>
    </w:p>
    <w:p>
      <w:pPr>
        <w:ind w:left="227"/>
      </w:pPr>
      <w:r>
        <w:rPr>
          <w:rFonts w:ascii="Arial" w:hAnsi="Arial" w:eastAsia="Arial"/>
          <w:sz w:val="20"/>
        </w:rPr>
        <w:t>☐  Who on the board owns cybersecurity (name): ____________________</w:t>
      </w:r>
    </w:p>
    <w:p>
      <w:pPr>
        <w:ind w:left="227"/>
      </w:pPr>
      <w:r>
        <w:rPr>
          <w:rFonts w:ascii="Arial" w:hAnsi="Arial" w:eastAsia="Arial"/>
          <w:sz w:val="20"/>
        </w:rPr>
        <w:t>☐  Whether the management body has approved cyber risk management measures and oversees their implementation</w:t>
      </w:r>
    </w:p>
    <w:p>
      <w:pPr>
        <w:ind w:left="227"/>
      </w:pPr>
      <w:r>
        <w:rPr>
          <w:rFonts w:ascii="Arial" w:hAnsi="Arial" w:eastAsia="Arial"/>
          <w:sz w:val="20"/>
        </w:rPr>
        <w:t>☐  Timetable for implementing the obligations (deadline per gov.pl: 3 April 2027)</w:t>
      </w:r>
    </w:p>
    <w:p>
      <w:pPr>
        <w:ind w:left="227"/>
      </w:pPr>
      <w:r>
        <w:rPr>
          <w:rFonts w:ascii="Arial" w:hAnsi="Arial" w:eastAsia="Arial"/>
          <w:sz w:val="20"/>
        </w:rPr>
        <w:t>☐  First mandatory audit for key entities (deadline per gov.pl: 3 April 2028)</w:t>
      </w:r>
    </w:p>
    <w:p>
      <w:pPr>
        <w:ind w:left="227"/>
      </w:pPr>
      <w:r>
        <w:rPr>
          <w:rFonts w:ascii="Arial" w:hAnsi="Arial" w:eastAsia="Arial"/>
          <w:sz w:val="20"/>
        </w:rPr>
        <w:t>☐  Incident reporting procedure under the 24-hour and 72-hour regime</w:t>
      </w:r>
    </w:p>
    <w:p>
      <w:r>
        <w:rPr>
          <w:rFonts w:ascii="Arial" w:hAnsi="Arial" w:eastAsia="Arial"/>
          <w:i/>
          <w:color w:val="6B7280"/>
          <w:sz w:val="17"/>
        </w:rPr>
        <w:t>For information only, not legal advice. Confirm the company's obligations and the deadlines with legal counsel. Personal liability of the head of the entity is described in the Clifford Chance briefing (penalty of up to 300% of remuneration, 100% in public entities).</w:t>
      </w:r>
    </w:p>
    <w:p>
      <w:pPr>
        <w:pStyle w:val="Heading1"/>
      </w:pPr>
      <w:r>
        <w:t>4. What will we show the candidate before they sign?</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3628"/>
        <w:gridCol w:w="6009"/>
      </w:tblGrid>
      <w:tr>
        <w:trPr>
          <w:cantSplit/>
          <w:tblHeader/>
        </w:trPr>
        <w:tc>
          <w:tcPr>
            <w:tcW w:type="dxa" w:w="3628"/>
            <w:shd w:val="clear" w:color="auto" w:fill="DCE6F1"/>
          </w:tcPr>
          <w:p>
            <w:pPr>
              <w:spacing w:after="20"/>
            </w:pPr>
            <w:r/>
            <w:r>
              <w:rPr>
                <w:rFonts w:ascii="Arial" w:hAnsi="Arial" w:eastAsia="Arial"/>
                <w:b/>
                <w:i w:val="0"/>
                <w:sz w:val="18"/>
              </w:rPr>
              <w:t>Area</w:t>
            </w:r>
          </w:p>
        </w:tc>
        <w:tc>
          <w:tcPr>
            <w:tcW w:type="dxa" w:w="6009"/>
            <w:shd w:val="clear" w:color="auto" w:fill="DCE6F1"/>
          </w:tcPr>
          <w:p>
            <w:pPr>
              <w:spacing w:after="20"/>
            </w:pPr>
            <w:r/>
            <w:r>
              <w:rPr>
                <w:rFonts w:ascii="Arial" w:hAnsi="Arial" w:eastAsia="Arial"/>
                <w:b/>
                <w:i w:val="0"/>
                <w:sz w:val="18"/>
              </w:rPr>
              <w:t>What we will tell the candidate</w:t>
            </w:r>
          </w:p>
        </w:tc>
      </w:tr>
      <w:tr>
        <w:trPr>
          <w:cantSplit/>
          <w:trHeight w:val="567"/>
        </w:trPr>
        <w:tc>
          <w:tcPr>
            <w:tcW w:type="dxa" w:w="3628"/>
          </w:tcPr>
          <w:p>
            <w:pPr>
              <w:spacing w:after="20"/>
            </w:pPr>
            <w:r/>
            <w:r>
              <w:rPr>
                <w:rFonts w:ascii="Arial" w:hAnsi="Arial" w:eastAsia="Arial"/>
                <w:b w:val="0"/>
                <w:i w:val="0"/>
                <w:sz w:val="18"/>
              </w:rPr>
              <w:t>Largest technical backlog</w:t>
            </w:r>
          </w:p>
        </w:tc>
        <w:tc>
          <w:tcPr>
            <w:tcW w:type="dxa" w:w="6009"/>
          </w:tcPr>
          <w:p>
            <w:pPr>
              <w:spacing w:after="20"/>
            </w:pPr>
            <w:r/>
            <w:r>
              <w:rPr>
                <w:rFonts w:ascii="Arial" w:hAnsi="Arial" w:eastAsia="Arial"/>
                <w:b w:val="0"/>
                <w:i w:val="0"/>
                <w:sz w:val="18"/>
              </w:rPr>
            </w:r>
          </w:p>
        </w:tc>
      </w:tr>
      <w:tr>
        <w:trPr>
          <w:cantSplit/>
          <w:trHeight w:val="567"/>
        </w:trPr>
        <w:tc>
          <w:tcPr>
            <w:tcW w:type="dxa" w:w="3628"/>
          </w:tcPr>
          <w:p>
            <w:pPr>
              <w:spacing w:after="20"/>
            </w:pPr>
            <w:r/>
            <w:r>
              <w:rPr>
                <w:rFonts w:ascii="Arial" w:hAnsi="Arial" w:eastAsia="Arial"/>
                <w:b w:val="0"/>
                <w:i w:val="0"/>
                <w:sz w:val="18"/>
              </w:rPr>
              <w:t>Open vendor disputes and contracts to renegotiate</w:t>
            </w:r>
          </w:p>
        </w:tc>
        <w:tc>
          <w:tcPr>
            <w:tcW w:type="dxa" w:w="6009"/>
          </w:tcPr>
          <w:p>
            <w:pPr>
              <w:spacing w:after="20"/>
            </w:pPr>
            <w:r/>
            <w:r>
              <w:rPr>
                <w:rFonts w:ascii="Arial" w:hAnsi="Arial" w:eastAsia="Arial"/>
                <w:b w:val="0"/>
                <w:i w:val="0"/>
                <w:sz w:val="18"/>
              </w:rPr>
            </w:r>
          </w:p>
        </w:tc>
      </w:tr>
      <w:tr>
        <w:trPr>
          <w:cantSplit/>
          <w:trHeight w:val="567"/>
        </w:trPr>
        <w:tc>
          <w:tcPr>
            <w:tcW w:type="dxa" w:w="3628"/>
          </w:tcPr>
          <w:p>
            <w:pPr>
              <w:spacing w:after="20"/>
            </w:pPr>
            <w:r/>
            <w:r>
              <w:rPr>
                <w:rFonts w:ascii="Arial" w:hAnsi="Arial" w:eastAsia="Arial"/>
                <w:b w:val="0"/>
                <w:i w:val="0"/>
                <w:sz w:val="18"/>
              </w:rPr>
              <w:t>Gaps in the team</w:t>
            </w:r>
          </w:p>
        </w:tc>
        <w:tc>
          <w:tcPr>
            <w:tcW w:type="dxa" w:w="6009"/>
          </w:tcPr>
          <w:p>
            <w:pPr>
              <w:spacing w:after="20"/>
            </w:pPr>
            <w:r/>
            <w:r>
              <w:rPr>
                <w:rFonts w:ascii="Arial" w:hAnsi="Arial" w:eastAsia="Arial"/>
                <w:b w:val="0"/>
                <w:i w:val="0"/>
                <w:sz w:val="18"/>
              </w:rPr>
            </w:r>
          </w:p>
        </w:tc>
      </w:tr>
      <w:tr>
        <w:trPr>
          <w:cantSplit/>
          <w:trHeight w:val="567"/>
        </w:trPr>
        <w:tc>
          <w:tcPr>
            <w:tcW w:type="dxa" w:w="3628"/>
          </w:tcPr>
          <w:p>
            <w:pPr>
              <w:spacing w:after="20"/>
            </w:pPr>
            <w:r/>
            <w:r>
              <w:rPr>
                <w:rFonts w:ascii="Arial" w:hAnsi="Arial" w:eastAsia="Arial"/>
                <w:b w:val="0"/>
                <w:i w:val="0"/>
                <w:sz w:val="18"/>
              </w:rPr>
              <w:t>Last serious incident and lessons from it</w:t>
            </w:r>
          </w:p>
        </w:tc>
        <w:tc>
          <w:tcPr>
            <w:tcW w:type="dxa" w:w="6009"/>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pPr>
        <w:pStyle w:val="Heading1"/>
      </w:pPr>
      <w:r>
        <w:t>5. Confirmation</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4535"/>
        <w:gridCol w:w="1701"/>
        <w:gridCol w:w="3402"/>
      </w:tblGrid>
      <w:tr>
        <w:trPr>
          <w:cantSplit/>
          <w:tblHeader/>
        </w:trPr>
        <w:tc>
          <w:tcPr>
            <w:tcW w:type="dxa" w:w="4535"/>
            <w:shd w:val="clear" w:color="auto" w:fill="DCE6F1"/>
          </w:tcPr>
          <w:p>
            <w:pPr>
              <w:spacing w:after="20"/>
            </w:pPr>
            <w:r/>
            <w:r>
              <w:rPr>
                <w:rFonts w:ascii="Arial" w:hAnsi="Arial" w:eastAsia="Arial"/>
                <w:b/>
                <w:i w:val="0"/>
                <w:sz w:val="18"/>
              </w:rPr>
              <w:t>Approved by (name, role)</w:t>
            </w:r>
          </w:p>
        </w:tc>
        <w:tc>
          <w:tcPr>
            <w:tcW w:type="dxa" w:w="1701"/>
            <w:shd w:val="clear" w:color="auto" w:fill="DCE6F1"/>
          </w:tcPr>
          <w:p>
            <w:pPr>
              <w:spacing w:after="20"/>
            </w:pPr>
            <w:r/>
            <w:r>
              <w:rPr>
                <w:rFonts w:ascii="Arial" w:hAnsi="Arial" w:eastAsia="Arial"/>
                <w:b/>
                <w:i w:val="0"/>
                <w:sz w:val="18"/>
              </w:rPr>
              <w:t>Date</w:t>
            </w:r>
          </w:p>
        </w:tc>
        <w:tc>
          <w:tcPr>
            <w:tcW w:type="dxa" w:w="3402"/>
            <w:shd w:val="clear" w:color="auto" w:fill="DCE6F1"/>
          </w:tcPr>
          <w:p>
            <w:pPr>
              <w:spacing w:after="20"/>
            </w:pPr>
            <w:r/>
            <w:r>
              <w:rPr>
                <w:rFonts w:ascii="Arial" w:hAnsi="Arial" w:eastAsia="Arial"/>
                <w:b/>
                <w:i w:val="0"/>
                <w:sz w:val="18"/>
              </w:rPr>
              <w:t>Answers emailed (date)</w:t>
            </w:r>
          </w:p>
        </w:tc>
      </w:tr>
      <w:tr>
        <w:trPr>
          <w:cantSplit/>
          <w:trHeight w:val="454"/>
        </w:trPr>
        <w:tc>
          <w:tcPr>
            <w:tcW w:type="dxa" w:w="4535"/>
          </w:tcPr>
          <w:p>
            <w:pPr>
              <w:spacing w:after="20"/>
            </w:pPr>
            <w:r/>
            <w:r>
              <w:rPr>
                <w:rFonts w:ascii="Arial" w:hAnsi="Arial" w:eastAsia="Arial"/>
                <w:b w:val="0"/>
                <w:i w:val="0"/>
                <w:sz w:val="18"/>
              </w:rPr>
            </w:r>
          </w:p>
        </w:tc>
        <w:tc>
          <w:tcPr>
            <w:tcW w:type="dxa" w:w="1701"/>
          </w:tcPr>
          <w:p>
            <w:pPr>
              <w:spacing w:after="20"/>
            </w:pPr>
            <w:r/>
            <w:r>
              <w:rPr>
                <w:rFonts w:ascii="Arial" w:hAnsi="Arial" w:eastAsia="Arial"/>
                <w:b w:val="0"/>
                <w:i w:val="0"/>
                <w:sz w:val="18"/>
              </w:rPr>
            </w:r>
          </w:p>
        </w:tc>
        <w:tc>
          <w:tcPr>
            <w:tcW w:type="dxa" w:w="3402"/>
          </w:tcPr>
          <w:p>
            <w:pPr>
              <w:spacing w:after="20"/>
            </w:pPr>
            <w:r/>
            <w:r>
              <w:rPr>
                <w:rFonts w:ascii="Arial" w:hAnsi="Arial" w:eastAsia="Arial"/>
                <w:b w:val="0"/>
                <w:i w:val="0"/>
                <w:sz w:val="18"/>
              </w:rPr>
            </w:r>
          </w:p>
        </w:tc>
      </w:tr>
      <w:tr>
        <w:trPr>
          <w:cantSplit/>
          <w:trHeight w:val="454"/>
        </w:trPr>
        <w:tc>
          <w:tcPr>
            <w:tcW w:type="dxa" w:w="4535"/>
          </w:tcPr>
          <w:p>
            <w:pPr>
              <w:spacing w:after="20"/>
            </w:pPr>
            <w:r/>
            <w:r>
              <w:rPr>
                <w:rFonts w:ascii="Arial" w:hAnsi="Arial" w:eastAsia="Arial"/>
                <w:b w:val="0"/>
                <w:i w:val="0"/>
                <w:sz w:val="18"/>
              </w:rPr>
            </w:r>
          </w:p>
        </w:tc>
        <w:tc>
          <w:tcPr>
            <w:tcW w:type="dxa" w:w="1701"/>
          </w:tcPr>
          <w:p>
            <w:pPr>
              <w:spacing w:after="20"/>
            </w:pPr>
            <w:r/>
            <w:r>
              <w:rPr>
                <w:rFonts w:ascii="Arial" w:hAnsi="Arial" w:eastAsia="Arial"/>
                <w:b w:val="0"/>
                <w:i w:val="0"/>
                <w:sz w:val="18"/>
              </w:rPr>
            </w:r>
          </w:p>
        </w:tc>
        <w:tc>
          <w:tcPr>
            <w:tcW w:type="dxa" w:w="3402"/>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r>
        <w:rPr>
          <w:rFonts w:ascii="Arial" w:hAnsi="Arial" w:eastAsia="Arial"/>
          <w:i/>
          <w:color w:val="6B7280"/>
          <w:sz w:val="17"/>
        </w:rPr>
        <w:t>Sources: Gartner, The CIO and Technology Executive Agenda for 2026 (2,500+ CIOs); Foundry, State of the CIO 2026 (662 heads of IT); gov.pl, amendment to the Polish National Cybersecurity System Act (KSC); Clifford Chance, NIS2 briefing (March 2026); KPMG Poland, NIS 2 directive and the new KSC act.</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left"/>
    </w:pPr>
    <w:r>
      <w:rPr>
        <w:rFonts w:ascii="Arial" w:hAnsi="Arial" w:eastAsia="Arial"/>
        <w:color w:val="6B7280"/>
        <w:sz w:val="16"/>
      </w:rPr>
      <w:t xml:space="preserve">Companion materials to the article "How to assess an IT director candidate: 10 questions for boards and recruiters"   |   </w:t>
    </w:r>
    <w:r>
      <w:rPr>
        <w:rFonts w:ascii="Arial" w:hAnsi="Arial" w:eastAsia="Arial"/>
        <w:color w:val="6B7280"/>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80"/>
      <w:outlineLvl w:val="0"/>
    </w:pPr>
    <w:rPr>
      <w:rFonts w:ascii="Arial" w:hAnsi="Arial" w:eastAsia="Arial" w:cs="Arial"/>
      <w:b/>
      <w:bCs/>
      <w:color w:val="1F3A5F"/>
      <w:sz w:val="2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Arial" w:hAnsi="Arial" w:eastAsia="Arial" w:cs="Arial"/>
      <w:b/>
      <w:bCs/>
      <w:color w:val="1F3A5F"/>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rial" w:hAnsi="Arial"/>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brief: IT director</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