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Arial" w:hAnsi="Arial" w:eastAsia="Arial"/>
          <w:b/>
          <w:color w:val="1F3A5F"/>
          <w:sz w:val="40"/>
        </w:rPr>
        <w:t>Brief z zarządem: dyrektor IT</w:t>
      </w:r>
    </w:p>
    <w:p>
      <w:pPr>
        <w:spacing w:after="200"/>
      </w:pPr>
      <w:r>
        <w:rPr>
          <w:rFonts w:ascii="Arial" w:hAnsi="Arial" w:eastAsia="Arial"/>
          <w:color w:val="6B7280"/>
          <w:sz w:val="22"/>
        </w:rPr>
        <w:t>Trzy pytania, które rekruter zadaje zarządowi, zanim ruszą poszukiwania</w:t>
      </w:r>
    </w:p>
    <w:tbl>
      <w:tblPr>
        <w:tblStyle w:val="TableGrid"/>
        <w:tblW w:type="dxa" w:w="9639"/>
        <w:jc w:val="center"/>
        <w:tblLayout w:type="fixed"/>
        <w:tblLook w:firstColumn="1" w:firstRow="1" w:lastColumn="0" w:lastRow="0" w:noHBand="0" w:noVBand="1" w:val="04A0"/>
        <w:tblCellMar>
          <w:top w:w="60" w:type="dxa"/>
          <w:left w:w="90" w:type="dxa"/>
          <w:bottom w:w="60" w:type="dxa"/>
          <w:right w:w="90" w:type="dxa"/>
        </w:tblCellMar>
        <w:tblLayout w:type="fixed"/>
      </w:tblPr>
      <w:tblGrid>
        <w:gridCol w:w="3402"/>
        <w:gridCol w:w="6236"/>
      </w:tblGrid>
      <w:tr>
        <w:trPr>
          <w:cantSplit/>
        </w:trPr>
        <w:tc>
          <w:tcPr>
            <w:tcW w:type="dxa" w:w="3402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Firma</w:t>
            </w:r>
          </w:p>
        </w:tc>
        <w:tc>
          <w:tcPr>
            <w:tcW w:type="dxa" w:w="6236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</w:tr>
      <w:tr>
        <w:trPr>
          <w:cantSplit/>
        </w:trPr>
        <w:tc>
          <w:tcPr>
            <w:tcW w:type="dxa" w:w="3402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Stanowisko</w:t>
            </w:r>
          </w:p>
        </w:tc>
        <w:tc>
          <w:tcPr>
            <w:tcW w:type="dxa" w:w="6236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</w:tr>
      <w:tr>
        <w:trPr>
          <w:cantSplit/>
        </w:trPr>
        <w:tc>
          <w:tcPr>
            <w:tcW w:type="dxa" w:w="3402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Data spotkania</w:t>
            </w:r>
          </w:p>
        </w:tc>
        <w:tc>
          <w:tcPr>
            <w:tcW w:type="dxa" w:w="6236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</w:tr>
      <w:tr>
        <w:trPr>
          <w:cantSplit/>
        </w:trPr>
        <w:tc>
          <w:tcPr>
            <w:tcW w:type="dxa" w:w="3402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Uczestnicy z zarządu</w:t>
            </w:r>
          </w:p>
        </w:tc>
        <w:tc>
          <w:tcPr>
            <w:tcW w:type="dxa" w:w="6236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</w:tr>
      <w:tr>
        <w:trPr>
          <w:cantSplit/>
        </w:trPr>
        <w:tc>
          <w:tcPr>
            <w:tcW w:type="dxa" w:w="3402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Prowadzący (rekruter / headhunter)</w:t>
            </w:r>
          </w:p>
        </w:tc>
        <w:tc>
          <w:tcPr>
            <w:tcW w:type="dxa" w:w="6236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</w:tr>
    </w:tbl>
    <w:p>
      <w:pPr>
        <w:spacing w:after="0" w:before="0"/>
      </w:pPr>
      <w:r>
        <w:rPr>
          <w:rFonts w:ascii="Arial" w:hAnsi="Arial" w:eastAsia="Arial"/>
          <w:sz w:val="8"/>
        </w:rPr>
        <w:t xml:space="preserve"> </w:t>
      </w:r>
    </w:p>
    <w:p>
      <w:r>
        <w:rPr>
          <w:rFonts w:ascii="Arial" w:hAnsi="Arial" w:eastAsia="Arial"/>
          <w:b w:val="0"/>
          <w:i w:val="0"/>
          <w:sz w:val="20"/>
        </w:rPr>
        <w:t>Wypełnij na jednym spotkaniu, w komplecie zarządu. Po spotkaniu odeślij spisane odpowiedzi mailem do potwierdzenia. Bez potwierdzenia nie publikuj ogłoszenia i nie zaczynaj sourcingu.</w:t>
      </w:r>
    </w:p>
    <w:p>
      <w:pPr>
        <w:pStyle w:val="Heading1"/>
      </w:pPr>
      <w:r>
        <w:t>1. Co ma się zmienić w ciągu 18 miesięcy i po czym to poznamy?</w:t>
      </w:r>
    </w:p>
    <w:p>
      <w:r>
        <w:rPr>
          <w:rFonts w:ascii="Arial" w:hAnsi="Arial" w:eastAsia="Arial"/>
          <w:b w:val="0"/>
          <w:i w:val="0"/>
          <w:sz w:val="20"/>
        </w:rPr>
        <w:t>Maksymalnie trzy rezultaty, każdy z liczbą i terminem. Jeśli zarząd podaje cele, z których żaden nie ma liczby, wstrzymaj proces.</w:t>
      </w:r>
    </w:p>
    <w:tbl>
      <w:tblPr>
        <w:tblStyle w:val="TableGrid"/>
        <w:tblW w:type="dxa" w:w="9639"/>
        <w:jc w:val="center"/>
        <w:tblLayout w:type="fixed"/>
        <w:tblLook w:firstColumn="1" w:firstRow="1" w:lastColumn="0" w:lastRow="0" w:noHBand="0" w:noVBand="1" w:val="04A0"/>
        <w:tblCellMar>
          <w:top w:w="60" w:type="dxa"/>
          <w:left w:w="90" w:type="dxa"/>
          <w:bottom w:w="60" w:type="dxa"/>
          <w:right w:w="90" w:type="dxa"/>
        </w:tblCellMar>
        <w:tblLayout w:type="fixed"/>
      </w:tblPr>
      <w:tblGrid>
        <w:gridCol w:w="1020"/>
        <w:gridCol w:w="3175"/>
        <w:gridCol w:w="2608"/>
        <w:gridCol w:w="1304"/>
        <w:gridCol w:w="1531"/>
      </w:tblGrid>
      <w:tr>
        <w:trPr>
          <w:cantSplit/>
          <w:tblHeader/>
        </w:trPr>
        <w:tc>
          <w:tcPr>
            <w:tcW w:type="dxa" w:w="1020"/>
            <w:shd w:val="clear" w:color="auto" w:fill="DCE6F1"/>
          </w:tcPr>
          <w:p>
            <w:pPr>
              <w:spacing w:after="20"/>
            </w:pPr>
            <w:r/>
            <w:r>
              <w:rPr>
                <w:rFonts w:ascii="Arial" w:hAnsi="Arial" w:eastAsia="Arial"/>
                <w:b/>
                <w:i w:val="0"/>
                <w:sz w:val="18"/>
              </w:rPr>
              <w:t>Nr</w:t>
            </w:r>
          </w:p>
        </w:tc>
        <w:tc>
          <w:tcPr>
            <w:tcW w:type="dxa" w:w="3175"/>
            <w:shd w:val="clear" w:color="auto" w:fill="DCE6F1"/>
          </w:tcPr>
          <w:p>
            <w:pPr>
              <w:spacing w:after="20"/>
            </w:pPr>
            <w:r/>
            <w:r>
              <w:rPr>
                <w:rFonts w:ascii="Arial" w:hAnsi="Arial" w:eastAsia="Arial"/>
                <w:b/>
                <w:i w:val="0"/>
                <w:sz w:val="18"/>
              </w:rPr>
              <w:t>Rezultat</w:t>
            </w:r>
          </w:p>
        </w:tc>
        <w:tc>
          <w:tcPr>
            <w:tcW w:type="dxa" w:w="2608"/>
            <w:shd w:val="clear" w:color="auto" w:fill="DCE6F1"/>
          </w:tcPr>
          <w:p>
            <w:pPr>
              <w:spacing w:after="20"/>
            </w:pPr>
            <w:r/>
            <w:r>
              <w:rPr>
                <w:rFonts w:ascii="Arial" w:hAnsi="Arial" w:eastAsia="Arial"/>
                <w:b/>
                <w:i w:val="0"/>
                <w:sz w:val="18"/>
              </w:rPr>
              <w:t>Miara (liczba i punkt odniesienia)</w:t>
            </w:r>
          </w:p>
        </w:tc>
        <w:tc>
          <w:tcPr>
            <w:tcW w:type="dxa" w:w="1304"/>
            <w:shd w:val="clear" w:color="auto" w:fill="DCE6F1"/>
          </w:tcPr>
          <w:p>
            <w:pPr>
              <w:spacing w:after="20"/>
            </w:pPr>
            <w:r/>
            <w:r>
              <w:rPr>
                <w:rFonts w:ascii="Arial" w:hAnsi="Arial" w:eastAsia="Arial"/>
                <w:b/>
                <w:i w:val="0"/>
                <w:sz w:val="18"/>
              </w:rPr>
              <w:t>Termin</w:t>
            </w:r>
          </w:p>
        </w:tc>
        <w:tc>
          <w:tcPr>
            <w:tcW w:type="dxa" w:w="1531"/>
            <w:shd w:val="clear" w:color="auto" w:fill="DCE6F1"/>
          </w:tcPr>
          <w:p>
            <w:pPr>
              <w:spacing w:after="20"/>
            </w:pPr>
            <w:r/>
            <w:r>
              <w:rPr>
                <w:rFonts w:ascii="Arial" w:hAnsi="Arial" w:eastAsia="Arial"/>
                <w:b/>
                <w:i w:val="0"/>
                <w:sz w:val="18"/>
              </w:rPr>
              <w:t>Kto potwierdza</w:t>
            </w:r>
          </w:p>
        </w:tc>
      </w:tr>
      <w:tr>
        <w:trPr>
          <w:cantSplit/>
          <w:trHeight w:val="454"/>
        </w:trPr>
        <w:tc>
          <w:tcPr>
            <w:tcW w:type="dxa" w:w="1020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/>
                <w:color w:val="6B7280"/>
                <w:sz w:val="18"/>
              </w:rPr>
              <w:t>(przykład)</w:t>
            </w:r>
          </w:p>
        </w:tc>
        <w:tc>
          <w:tcPr>
            <w:tcW w:type="dxa" w:w="3175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/>
                <w:color w:val="6B7280"/>
                <w:sz w:val="18"/>
              </w:rPr>
              <w:t>Obniżyć roczny koszt utrzymania systemów</w:t>
            </w:r>
          </w:p>
        </w:tc>
        <w:tc>
          <w:tcPr>
            <w:tcW w:type="dxa" w:w="2608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/>
                <w:color w:val="6B7280"/>
                <w:sz w:val="18"/>
              </w:rPr>
              <w:t>−15% względem roku bazowego</w:t>
            </w:r>
          </w:p>
        </w:tc>
        <w:tc>
          <w:tcPr>
            <w:tcW w:type="dxa" w:w="1304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/>
                <w:color w:val="6B7280"/>
                <w:sz w:val="18"/>
              </w:rPr>
              <w:t>31.12.2027</w:t>
            </w:r>
          </w:p>
        </w:tc>
        <w:tc>
          <w:tcPr>
            <w:tcW w:type="dxa" w:w="1531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/>
                <w:color w:val="6B7280"/>
                <w:sz w:val="18"/>
              </w:rPr>
              <w:t>CFO</w:t>
            </w:r>
          </w:p>
        </w:tc>
      </w:tr>
      <w:tr>
        <w:trPr>
          <w:cantSplit/>
          <w:trHeight w:val="454"/>
        </w:trPr>
        <w:tc>
          <w:tcPr>
            <w:tcW w:type="dxa" w:w="1020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  <w:t>1</w:t>
            </w:r>
          </w:p>
        </w:tc>
        <w:tc>
          <w:tcPr>
            <w:tcW w:type="dxa" w:w="3175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  <w:tc>
          <w:tcPr>
            <w:tcW w:type="dxa" w:w="2608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  <w:tc>
          <w:tcPr>
            <w:tcW w:type="dxa" w:w="1304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  <w:tc>
          <w:tcPr>
            <w:tcW w:type="dxa" w:w="1531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</w:tr>
      <w:tr>
        <w:trPr>
          <w:cantSplit/>
          <w:trHeight w:val="454"/>
        </w:trPr>
        <w:tc>
          <w:tcPr>
            <w:tcW w:type="dxa" w:w="1020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  <w:t>2</w:t>
            </w:r>
          </w:p>
        </w:tc>
        <w:tc>
          <w:tcPr>
            <w:tcW w:type="dxa" w:w="3175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  <w:tc>
          <w:tcPr>
            <w:tcW w:type="dxa" w:w="2608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  <w:tc>
          <w:tcPr>
            <w:tcW w:type="dxa" w:w="1304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  <w:tc>
          <w:tcPr>
            <w:tcW w:type="dxa" w:w="1531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</w:tr>
      <w:tr>
        <w:trPr>
          <w:cantSplit/>
          <w:trHeight w:val="454"/>
        </w:trPr>
        <w:tc>
          <w:tcPr>
            <w:tcW w:type="dxa" w:w="1020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  <w:t>3</w:t>
            </w:r>
          </w:p>
        </w:tc>
        <w:tc>
          <w:tcPr>
            <w:tcW w:type="dxa" w:w="3175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  <w:tc>
          <w:tcPr>
            <w:tcW w:type="dxa" w:w="2608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  <w:tc>
          <w:tcPr>
            <w:tcW w:type="dxa" w:w="1304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  <w:tc>
          <w:tcPr>
            <w:tcW w:type="dxa" w:w="1531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</w:tr>
    </w:tbl>
    <w:p>
      <w:pPr>
        <w:spacing w:after="0" w:before="0"/>
      </w:pPr>
      <w:r>
        <w:rPr>
          <w:rFonts w:ascii="Arial" w:hAnsi="Arial" w:eastAsia="Arial"/>
          <w:sz w:val="8"/>
        </w:rPr>
        <w:t xml:space="preserve"> </w:t>
      </w:r>
    </w:p>
    <w:tbl>
      <w:tblPr>
        <w:tblStyle w:val="TableGrid"/>
        <w:tblW w:type="dxa" w:w="9639"/>
        <w:jc w:val="center"/>
        <w:tblLayout w:type="fixed"/>
        <w:tblLook w:firstColumn="1" w:firstRow="1" w:lastColumn="0" w:lastRow="0" w:noHBand="0" w:noVBand="1" w:val="04A0"/>
        <w:tblCellMar>
          <w:top w:w="60" w:type="dxa"/>
          <w:left w:w="90" w:type="dxa"/>
          <w:bottom w:w="60" w:type="dxa"/>
          <w:right w:w="90" w:type="dxa"/>
        </w:tblCellMar>
        <w:tblLayout w:type="fixed"/>
      </w:tblPr>
      <w:tblGrid>
        <w:gridCol w:w="4819"/>
        <w:gridCol w:w="4819"/>
      </w:tblGrid>
      <w:tr>
        <w:trPr>
          <w:cantSplit/>
          <w:trHeight w:val="680"/>
        </w:trPr>
        <w:tc>
          <w:tcPr>
            <w:tcW w:type="dxa" w:w="4819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Który cel ma pierwszeństwo, gdy cele się zderzą (np. cięcie kosztów i szybszy rozwój)?</w:t>
            </w:r>
          </w:p>
        </w:tc>
        <w:tc>
          <w:tcPr>
            <w:tcW w:type="dxa" w:w="4819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</w:tr>
    </w:tbl>
    <w:p>
      <w:pPr>
        <w:spacing w:after="0" w:before="0"/>
      </w:pPr>
      <w:r>
        <w:rPr>
          <w:rFonts w:ascii="Arial" w:hAnsi="Arial" w:eastAsia="Arial"/>
          <w:sz w:val="8"/>
        </w:rPr>
        <w:t xml:space="preserve"> </w:t>
      </w:r>
    </w:p>
    <w:p>
      <w:pPr>
        <w:pStyle w:val="Heading2"/>
      </w:pPr>
      <w:r>
        <w:t>Który model roli ma na myśli zarząd?</w:t>
      </w:r>
    </w:p>
    <w:p>
      <w:pPr>
        <w:ind w:left="227"/>
      </w:pPr>
      <w:r>
        <w:rPr>
          <w:rFonts w:ascii="Arial" w:hAnsi="Arial" w:eastAsia="Arial"/>
          <w:sz w:val="20"/>
        </w:rPr>
        <w:t>☐  Lider biznesu, który współkształtuje decyzje technologiczne</w:t>
      </w:r>
    </w:p>
    <w:p>
      <w:pPr>
        <w:ind w:left="227"/>
      </w:pPr>
      <w:r>
        <w:rPr>
          <w:rFonts w:ascii="Arial" w:hAnsi="Arial" w:eastAsia="Arial"/>
          <w:sz w:val="20"/>
        </w:rPr>
        <w:t>☐  Konsultant / doradca dla biznesu</w:t>
      </w:r>
    </w:p>
    <w:p>
      <w:pPr>
        <w:ind w:left="227"/>
      </w:pPr>
      <w:r>
        <w:rPr>
          <w:rFonts w:ascii="Arial" w:hAnsi="Arial" w:eastAsia="Arial"/>
          <w:sz w:val="20"/>
        </w:rPr>
        <w:t>☐  Osoba oceniająca i pilnująca ryzyka</w:t>
      </w:r>
    </w:p>
    <w:p>
      <w:pPr>
        <w:ind w:left="227"/>
      </w:pPr>
      <w:r>
        <w:rPr>
          <w:rFonts w:ascii="Arial" w:hAnsi="Arial" w:eastAsia="Arial"/>
          <w:sz w:val="20"/>
        </w:rPr>
        <w:t>☐  Inny (jaki): ______________________________</w:t>
      </w:r>
    </w:p>
    <w:p>
      <w:r>
        <w:rPr>
          <w:rFonts w:ascii="Arial" w:hAnsi="Arial" w:eastAsia="Arial"/>
          <w:i/>
          <w:color w:val="6B7280"/>
          <w:sz w:val="17"/>
        </w:rPr>
        <w:t>Tło: w badaniu Gartnera ponad 57% dyrektorów IT musi zwiększyć produktywność, a 52% obniżyć koszty. To dwie różne prace. W badaniu Foundry (2026) 46% szefów IT widzi siebie jako liderów biznesu, 28% jako konsultantów, 14% jako osoby oceniające ryzyko.</w:t>
      </w:r>
    </w:p>
    <w:p>
      <w:pPr>
        <w:pStyle w:val="Heading1"/>
      </w:pPr>
      <w:r>
        <w:t>2. Jakie decyzje podejmie sam, a jakie będą wymagały zgody?</w:t>
      </w:r>
    </w:p>
    <w:p>
      <w:r>
        <w:rPr>
          <w:rFonts w:ascii="Arial" w:hAnsi="Arial" w:eastAsia="Arial"/>
          <w:b w:val="0"/>
          <w:i w:val="0"/>
          <w:sz w:val="20"/>
        </w:rPr>
        <w:t>Przy kwotach wpisz konkretną wartość. „Pełna swoboda” bez kwoty nic nie znaczy.</w:t>
      </w:r>
    </w:p>
    <w:tbl>
      <w:tblPr>
        <w:tblStyle w:val="TableGrid"/>
        <w:tblW w:type="dxa" w:w="9639"/>
        <w:jc w:val="center"/>
        <w:tblLayout w:type="fixed"/>
        <w:tblLook w:firstColumn="1" w:firstRow="1" w:lastColumn="0" w:lastRow="0" w:noHBand="0" w:noVBand="1" w:val="04A0"/>
        <w:tblCellMar>
          <w:top w:w="60" w:type="dxa"/>
          <w:left w:w="90" w:type="dxa"/>
          <w:bottom w:w="60" w:type="dxa"/>
          <w:right w:w="90" w:type="dxa"/>
        </w:tblCellMar>
        <w:tblLayout w:type="fixed"/>
      </w:tblPr>
      <w:tblGrid>
        <w:gridCol w:w="3628"/>
        <w:gridCol w:w="3005"/>
        <w:gridCol w:w="3005"/>
      </w:tblGrid>
      <w:tr>
        <w:trPr>
          <w:cantSplit/>
          <w:tblHeader/>
        </w:trPr>
        <w:tc>
          <w:tcPr>
            <w:tcW w:type="dxa" w:w="3628"/>
            <w:shd w:val="clear" w:color="auto" w:fill="DCE6F1"/>
          </w:tcPr>
          <w:p>
            <w:pPr>
              <w:spacing w:after="20"/>
            </w:pPr>
            <w:r/>
            <w:r>
              <w:rPr>
                <w:rFonts w:ascii="Arial" w:hAnsi="Arial" w:eastAsia="Arial"/>
                <w:b/>
                <w:i w:val="0"/>
                <w:sz w:val="18"/>
              </w:rPr>
              <w:t>Obszar</w:t>
            </w:r>
          </w:p>
        </w:tc>
        <w:tc>
          <w:tcPr>
            <w:tcW w:type="dxa" w:w="3005"/>
            <w:shd w:val="clear" w:color="auto" w:fill="DCE6F1"/>
          </w:tcPr>
          <w:p>
            <w:pPr>
              <w:spacing w:after="20"/>
            </w:pPr>
            <w:r/>
            <w:r>
              <w:rPr>
                <w:rFonts w:ascii="Arial" w:hAnsi="Arial" w:eastAsia="Arial"/>
                <w:b/>
                <w:i w:val="0"/>
                <w:sz w:val="18"/>
              </w:rPr>
              <w:t>Decyduje samodzielnie (do kwoty)</w:t>
            </w:r>
          </w:p>
        </w:tc>
        <w:tc>
          <w:tcPr>
            <w:tcW w:type="dxa" w:w="3005"/>
            <w:shd w:val="clear" w:color="auto" w:fill="DCE6F1"/>
          </w:tcPr>
          <w:p>
            <w:pPr>
              <w:spacing w:after="20"/>
            </w:pPr>
            <w:r/>
            <w:r>
              <w:rPr>
                <w:rFonts w:ascii="Arial" w:hAnsi="Arial" w:eastAsia="Arial"/>
                <w:b/>
                <w:i w:val="0"/>
                <w:sz w:val="18"/>
              </w:rPr>
              <w:t>Wymaga zgody (czyjej)</w:t>
            </w:r>
          </w:p>
        </w:tc>
      </w:tr>
      <w:tr>
        <w:trPr>
          <w:cantSplit/>
          <w:trHeight w:val="454"/>
        </w:trPr>
        <w:tc>
          <w:tcPr>
            <w:tcW w:type="dxa" w:w="3628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  <w:t>Roczny budżet IT</w:t>
            </w:r>
          </w:p>
        </w:tc>
        <w:tc>
          <w:tcPr>
            <w:tcW w:type="dxa" w:w="3005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  <w:tc>
          <w:tcPr>
            <w:tcW w:type="dxa" w:w="3005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</w:tr>
      <w:tr>
        <w:trPr>
          <w:cantSplit/>
          <w:trHeight w:val="454"/>
        </w:trPr>
        <w:tc>
          <w:tcPr>
            <w:tcW w:type="dxa" w:w="3628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  <w:t>Wydatki jednorazowe (inwestycje)</w:t>
            </w:r>
          </w:p>
        </w:tc>
        <w:tc>
          <w:tcPr>
            <w:tcW w:type="dxa" w:w="3005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  <w:tc>
          <w:tcPr>
            <w:tcW w:type="dxa" w:w="3005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</w:tr>
      <w:tr>
        <w:trPr>
          <w:cantSplit/>
          <w:trHeight w:val="454"/>
        </w:trPr>
        <w:tc>
          <w:tcPr>
            <w:tcW w:type="dxa" w:w="3628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  <w:t>Wybór i zmiana dostawców</w:t>
            </w:r>
          </w:p>
        </w:tc>
        <w:tc>
          <w:tcPr>
            <w:tcW w:type="dxa" w:w="3005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  <w:tc>
          <w:tcPr>
            <w:tcW w:type="dxa" w:w="3005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</w:tr>
      <w:tr>
        <w:trPr>
          <w:cantSplit/>
          <w:trHeight w:val="454"/>
        </w:trPr>
        <w:tc>
          <w:tcPr>
            <w:tcW w:type="dxa" w:w="3628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  <w:t>Zatrudnianie i zwolnienia w zespole IT</w:t>
            </w:r>
          </w:p>
        </w:tc>
        <w:tc>
          <w:tcPr>
            <w:tcW w:type="dxa" w:w="3005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  <w:tc>
          <w:tcPr>
            <w:tcW w:type="dxa" w:w="3005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</w:tr>
      <w:tr>
        <w:trPr>
          <w:cantSplit/>
          <w:trHeight w:val="454"/>
        </w:trPr>
        <w:tc>
          <w:tcPr>
            <w:tcW w:type="dxa" w:w="3628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  <w:t>Systemy kupowane przez działy biznesowe (prawo weta)</w:t>
            </w:r>
          </w:p>
        </w:tc>
        <w:tc>
          <w:tcPr>
            <w:tcW w:type="dxa" w:w="3005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  <w:tc>
          <w:tcPr>
            <w:tcW w:type="dxa" w:w="3005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</w:tr>
      <w:tr>
        <w:trPr>
          <w:cantSplit/>
          <w:trHeight w:val="454"/>
        </w:trPr>
        <w:tc>
          <w:tcPr>
            <w:tcW w:type="dxa" w:w="3628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  <w:t>Incydent bezpieczeństwa: kto ogłasza i kto informuje zarząd</w:t>
            </w:r>
          </w:p>
        </w:tc>
        <w:tc>
          <w:tcPr>
            <w:tcW w:type="dxa" w:w="3005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  <w:tc>
          <w:tcPr>
            <w:tcW w:type="dxa" w:w="3005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</w:tr>
    </w:tbl>
    <w:p>
      <w:pPr>
        <w:spacing w:after="0" w:before="0"/>
      </w:pPr>
      <w:r>
        <w:rPr>
          <w:rFonts w:ascii="Arial" w:hAnsi="Arial" w:eastAsia="Arial"/>
          <w:sz w:val="8"/>
        </w:rPr>
        <w:t xml:space="preserve"> </w:t>
      </w:r>
    </w:p>
    <w:tbl>
      <w:tblPr>
        <w:tblStyle w:val="TableGrid"/>
        <w:tblW w:type="dxa" w:w="9639"/>
        <w:jc w:val="center"/>
        <w:tblLayout w:type="fixed"/>
        <w:tblLook w:firstColumn="1" w:firstRow="1" w:lastColumn="0" w:lastRow="0" w:noHBand="0" w:noVBand="1" w:val="04A0"/>
        <w:tblCellMar>
          <w:top w:w="60" w:type="dxa"/>
          <w:left w:w="90" w:type="dxa"/>
          <w:bottom w:w="60" w:type="dxa"/>
          <w:right w:w="90" w:type="dxa"/>
        </w:tblCellMar>
        <w:tblLayout w:type="fixed"/>
      </w:tblPr>
      <w:tblGrid>
        <w:gridCol w:w="3402"/>
        <w:gridCol w:w="6236"/>
      </w:tblGrid>
      <w:tr>
        <w:trPr>
          <w:cantSplit/>
          <w:trHeight w:val="454"/>
        </w:trPr>
        <w:tc>
          <w:tcPr>
            <w:tcW w:type="dxa" w:w="3402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Komu podlega</w:t>
            </w:r>
          </w:p>
        </w:tc>
        <w:tc>
          <w:tcPr>
            <w:tcW w:type="dxa" w:w="6236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</w:tr>
      <w:tr>
        <w:trPr>
          <w:cantSplit/>
          <w:trHeight w:val="454"/>
        </w:trPr>
        <w:tc>
          <w:tcPr>
            <w:tcW w:type="dxa" w:w="3402"/>
            <w:shd w:val="clear" w:color="auto" w:fill="F3F4F6"/>
          </w:tcPr>
          <w:p>
            <w:pPr>
              <w:spacing w:after="20"/>
            </w:pPr>
            <w:r>
              <w:rPr>
                <w:b/>
              </w:rPr>
            </w:r>
            <w:r>
              <w:rPr>
                <w:rFonts w:ascii="Arial" w:hAnsi="Arial" w:eastAsia="Arial"/>
                <w:b/>
                <w:i w:val="0"/>
                <w:sz w:val="18"/>
              </w:rPr>
              <w:t>Jak często spotyka się z zarządem</w:t>
            </w:r>
          </w:p>
        </w:tc>
        <w:tc>
          <w:tcPr>
            <w:tcW w:type="dxa" w:w="6236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</w:tr>
    </w:tbl>
    <w:p>
      <w:pPr>
        <w:spacing w:after="0" w:before="0"/>
      </w:pPr>
      <w:r>
        <w:rPr>
          <w:rFonts w:ascii="Arial" w:hAnsi="Arial" w:eastAsia="Arial"/>
          <w:sz w:val="8"/>
        </w:rPr>
        <w:t xml:space="preserve"> </w:t>
      </w:r>
    </w:p>
    <w:p>
      <w:pPr>
        <w:pStyle w:val="Heading1"/>
      </w:pPr>
      <w:r>
        <w:t>3. Kto w zarządzie odpowiada za cyberbezpieczeństwo i co zmienia nowelizacja KSC?</w:t>
      </w:r>
    </w:p>
    <w:p>
      <w:r>
        <w:rPr>
          <w:rFonts w:ascii="Arial" w:hAnsi="Arial" w:eastAsia="Arial"/>
          <w:b w:val="0"/>
          <w:i w:val="0"/>
          <w:sz w:val="20"/>
        </w:rPr>
        <w:t>Nowelizacja ustawy o krajowym systemie cyberbezpieczeństwa (wdrożenie dyrektywy NIS2) weszła w życie 3 kwietnia 2026. Zanim zaczniesz rozmowy z kandydatami, ustal ze strony zarządu:</w:t>
      </w:r>
    </w:p>
    <w:p>
      <w:pPr>
        <w:ind w:left="227"/>
      </w:pPr>
      <w:r>
        <w:rPr>
          <w:rFonts w:ascii="Arial" w:hAnsi="Arial" w:eastAsia="Arial"/>
          <w:sz w:val="20"/>
        </w:rPr>
        <w:t>☐  Czy firma jest podmiotem kluczowym lub ważnym (zależy od sektora i wielkości). Potwierdzone przez: ____________________</w:t>
      </w:r>
    </w:p>
    <w:p>
      <w:pPr>
        <w:ind w:left="227"/>
      </w:pPr>
      <w:r>
        <w:rPr>
          <w:rFonts w:ascii="Arial" w:hAnsi="Arial" w:eastAsia="Arial"/>
          <w:sz w:val="20"/>
        </w:rPr>
        <w:t>☐  Czy złożono wniosek o wpis do wykazu (termin według gov.pl: 3 października 2026)</w:t>
      </w:r>
    </w:p>
    <w:p>
      <w:pPr>
        <w:ind w:left="227"/>
      </w:pPr>
      <w:r>
        <w:rPr>
          <w:rFonts w:ascii="Arial" w:hAnsi="Arial" w:eastAsia="Arial"/>
          <w:sz w:val="20"/>
        </w:rPr>
        <w:t>☐  Kto w zarządzie odpowiada za cyberbezpieczeństwo (imię i nazwisko): ____________________</w:t>
      </w:r>
    </w:p>
    <w:p>
      <w:pPr>
        <w:ind w:left="227"/>
      </w:pPr>
      <w:r>
        <w:rPr>
          <w:rFonts w:ascii="Arial" w:hAnsi="Arial" w:eastAsia="Arial"/>
          <w:sz w:val="20"/>
        </w:rPr>
        <w:t>☐  Czy organ zarządzający zatwierdził środki zarządzania ryzykiem cyber i nadzoruje ich wdrożenie</w:t>
      </w:r>
    </w:p>
    <w:p>
      <w:pPr>
        <w:ind w:left="227"/>
      </w:pPr>
      <w:r>
        <w:rPr>
          <w:rFonts w:ascii="Arial" w:hAnsi="Arial" w:eastAsia="Arial"/>
          <w:sz w:val="20"/>
        </w:rPr>
        <w:t>☐  Harmonogram wdrożenia obowiązków (termin według gov.pl: 3 kwietnia 2027)</w:t>
      </w:r>
    </w:p>
    <w:p>
      <w:pPr>
        <w:ind w:left="227"/>
      </w:pPr>
      <w:r>
        <w:rPr>
          <w:rFonts w:ascii="Arial" w:hAnsi="Arial" w:eastAsia="Arial"/>
          <w:sz w:val="20"/>
        </w:rPr>
        <w:t>☐  Pierwszy obowiązkowy audyt dla podmiotów kluczowych (termin według gov.pl: 3 kwietnia 2028)</w:t>
      </w:r>
    </w:p>
    <w:p>
      <w:pPr>
        <w:ind w:left="227"/>
      </w:pPr>
      <w:r>
        <w:rPr>
          <w:rFonts w:ascii="Arial" w:hAnsi="Arial" w:eastAsia="Arial"/>
          <w:sz w:val="20"/>
        </w:rPr>
        <w:t>☐  Procedura zgłaszania incydentów w reżimie 24 i 72 godzin</w:t>
      </w:r>
    </w:p>
    <w:p>
      <w:r>
        <w:rPr>
          <w:rFonts w:ascii="Arial" w:hAnsi="Arial" w:eastAsia="Arial"/>
          <w:i/>
          <w:color w:val="6B7280"/>
          <w:sz w:val="17"/>
        </w:rPr>
        <w:t>Materiał informacyjny, nie porada prawna. Zakres obowiązków firmy i terminy potwierdź z doradcą prawnym. Odpowiedzialność osobistą kierowników podmiotu opisuje briefing Clifford Chance (kara do 300% wynagrodzenia, w podmiotach publicznych 100%).</w:t>
      </w:r>
    </w:p>
    <w:p>
      <w:pPr>
        <w:pStyle w:val="Heading1"/>
      </w:pPr>
      <w:r>
        <w:t>4. Co pokażemy kandydatowi przed podpisaniem umowy?</w:t>
      </w:r>
    </w:p>
    <w:tbl>
      <w:tblPr>
        <w:tblStyle w:val="TableGrid"/>
        <w:tblW w:type="dxa" w:w="9639"/>
        <w:jc w:val="center"/>
        <w:tblLayout w:type="fixed"/>
        <w:tblLook w:firstColumn="1" w:firstRow="1" w:lastColumn="0" w:lastRow="0" w:noHBand="0" w:noVBand="1" w:val="04A0"/>
        <w:tblCellMar>
          <w:top w:w="60" w:type="dxa"/>
          <w:left w:w="90" w:type="dxa"/>
          <w:bottom w:w="60" w:type="dxa"/>
          <w:right w:w="90" w:type="dxa"/>
        </w:tblCellMar>
        <w:tblLayout w:type="fixed"/>
      </w:tblPr>
      <w:tblGrid>
        <w:gridCol w:w="3628"/>
        <w:gridCol w:w="6009"/>
      </w:tblGrid>
      <w:tr>
        <w:trPr>
          <w:cantSplit/>
          <w:tblHeader/>
        </w:trPr>
        <w:tc>
          <w:tcPr>
            <w:tcW w:type="dxa" w:w="3628"/>
            <w:shd w:val="clear" w:color="auto" w:fill="DCE6F1"/>
          </w:tcPr>
          <w:p>
            <w:pPr>
              <w:spacing w:after="20"/>
            </w:pPr>
            <w:r/>
            <w:r>
              <w:rPr>
                <w:rFonts w:ascii="Arial" w:hAnsi="Arial" w:eastAsia="Arial"/>
                <w:b/>
                <w:i w:val="0"/>
                <w:sz w:val="18"/>
              </w:rPr>
              <w:t>Obszar</w:t>
            </w:r>
          </w:p>
        </w:tc>
        <w:tc>
          <w:tcPr>
            <w:tcW w:type="dxa" w:w="6009"/>
            <w:shd w:val="clear" w:color="auto" w:fill="DCE6F1"/>
          </w:tcPr>
          <w:p>
            <w:pPr>
              <w:spacing w:after="20"/>
            </w:pPr>
            <w:r/>
            <w:r>
              <w:rPr>
                <w:rFonts w:ascii="Arial" w:hAnsi="Arial" w:eastAsia="Arial"/>
                <w:b/>
                <w:i w:val="0"/>
                <w:sz w:val="18"/>
              </w:rPr>
              <w:t>Co powiemy kandydatowi</w:t>
            </w:r>
          </w:p>
        </w:tc>
      </w:tr>
      <w:tr>
        <w:trPr>
          <w:cantSplit/>
          <w:trHeight w:val="567"/>
        </w:trPr>
        <w:tc>
          <w:tcPr>
            <w:tcW w:type="dxa" w:w="3628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  <w:t>Największe zaległości techniczne</w:t>
            </w:r>
          </w:p>
        </w:tc>
        <w:tc>
          <w:tcPr>
            <w:tcW w:type="dxa" w:w="6009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</w:tr>
      <w:tr>
        <w:trPr>
          <w:cantSplit/>
          <w:trHeight w:val="567"/>
        </w:trPr>
        <w:tc>
          <w:tcPr>
            <w:tcW w:type="dxa" w:w="3628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  <w:t>Otwarte spory z dostawcami i kontrakty do renegocjacji</w:t>
            </w:r>
          </w:p>
        </w:tc>
        <w:tc>
          <w:tcPr>
            <w:tcW w:type="dxa" w:w="6009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</w:tr>
      <w:tr>
        <w:trPr>
          <w:cantSplit/>
          <w:trHeight w:val="567"/>
        </w:trPr>
        <w:tc>
          <w:tcPr>
            <w:tcW w:type="dxa" w:w="3628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  <w:t>Luki w zespole</w:t>
            </w:r>
          </w:p>
        </w:tc>
        <w:tc>
          <w:tcPr>
            <w:tcW w:type="dxa" w:w="6009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</w:tr>
      <w:tr>
        <w:trPr>
          <w:cantSplit/>
          <w:trHeight w:val="567"/>
        </w:trPr>
        <w:tc>
          <w:tcPr>
            <w:tcW w:type="dxa" w:w="3628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  <w:t>Ostatni poważny incydent i wnioski z niego</w:t>
            </w:r>
          </w:p>
        </w:tc>
        <w:tc>
          <w:tcPr>
            <w:tcW w:type="dxa" w:w="6009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</w:tr>
    </w:tbl>
    <w:p>
      <w:pPr>
        <w:spacing w:after="0" w:before="0"/>
      </w:pPr>
      <w:r>
        <w:rPr>
          <w:rFonts w:ascii="Arial" w:hAnsi="Arial" w:eastAsia="Arial"/>
          <w:sz w:val="8"/>
        </w:rPr>
        <w:t xml:space="preserve"> </w:t>
      </w:r>
    </w:p>
    <w:p>
      <w:pPr>
        <w:pStyle w:val="Heading1"/>
      </w:pPr>
      <w:r>
        <w:t>5. Potwierdzenie</w:t>
      </w:r>
    </w:p>
    <w:tbl>
      <w:tblPr>
        <w:tblStyle w:val="TableGrid"/>
        <w:tblW w:type="dxa" w:w="9639"/>
        <w:jc w:val="center"/>
        <w:tblLayout w:type="fixed"/>
        <w:tblLook w:firstColumn="1" w:firstRow="1" w:lastColumn="0" w:lastRow="0" w:noHBand="0" w:noVBand="1" w:val="04A0"/>
        <w:tblCellMar>
          <w:top w:w="60" w:type="dxa"/>
          <w:left w:w="90" w:type="dxa"/>
          <w:bottom w:w="60" w:type="dxa"/>
          <w:right w:w="90" w:type="dxa"/>
        </w:tblCellMar>
        <w:tblLayout w:type="fixed"/>
      </w:tblPr>
      <w:tblGrid>
        <w:gridCol w:w="4535"/>
        <w:gridCol w:w="1701"/>
        <w:gridCol w:w="3402"/>
      </w:tblGrid>
      <w:tr>
        <w:trPr>
          <w:cantSplit/>
          <w:tblHeader/>
        </w:trPr>
        <w:tc>
          <w:tcPr>
            <w:tcW w:type="dxa" w:w="4535"/>
            <w:shd w:val="clear" w:color="auto" w:fill="DCE6F1"/>
          </w:tcPr>
          <w:p>
            <w:pPr>
              <w:spacing w:after="20"/>
            </w:pPr>
            <w:r/>
            <w:r>
              <w:rPr>
                <w:rFonts w:ascii="Arial" w:hAnsi="Arial" w:eastAsia="Arial"/>
                <w:b/>
                <w:i w:val="0"/>
                <w:sz w:val="18"/>
              </w:rPr>
              <w:t>Zatwierdził (imię i nazwisko, rola)</w:t>
            </w:r>
          </w:p>
        </w:tc>
        <w:tc>
          <w:tcPr>
            <w:tcW w:type="dxa" w:w="1701"/>
            <w:shd w:val="clear" w:color="auto" w:fill="DCE6F1"/>
          </w:tcPr>
          <w:p>
            <w:pPr>
              <w:spacing w:after="20"/>
            </w:pPr>
            <w:r/>
            <w:r>
              <w:rPr>
                <w:rFonts w:ascii="Arial" w:hAnsi="Arial" w:eastAsia="Arial"/>
                <w:b/>
                <w:i w:val="0"/>
                <w:sz w:val="18"/>
              </w:rPr>
              <w:t>Data</w:t>
            </w:r>
          </w:p>
        </w:tc>
        <w:tc>
          <w:tcPr>
            <w:tcW w:type="dxa" w:w="3402"/>
            <w:shd w:val="clear" w:color="auto" w:fill="DCE6F1"/>
          </w:tcPr>
          <w:p>
            <w:pPr>
              <w:spacing w:after="20"/>
            </w:pPr>
            <w:r/>
            <w:r>
              <w:rPr>
                <w:rFonts w:ascii="Arial" w:hAnsi="Arial" w:eastAsia="Arial"/>
                <w:b/>
                <w:i w:val="0"/>
                <w:sz w:val="18"/>
              </w:rPr>
              <w:t>Odpowiedzi odesłano mailem (data)</w:t>
            </w:r>
          </w:p>
        </w:tc>
      </w:tr>
      <w:tr>
        <w:trPr>
          <w:cantSplit/>
          <w:trHeight w:val="454"/>
        </w:trPr>
        <w:tc>
          <w:tcPr>
            <w:tcW w:type="dxa" w:w="4535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  <w:tc>
          <w:tcPr>
            <w:tcW w:type="dxa" w:w="1701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  <w:tc>
          <w:tcPr>
            <w:tcW w:type="dxa" w:w="3402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</w:tr>
      <w:tr>
        <w:trPr>
          <w:cantSplit/>
          <w:trHeight w:val="454"/>
        </w:trPr>
        <w:tc>
          <w:tcPr>
            <w:tcW w:type="dxa" w:w="4535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  <w:tc>
          <w:tcPr>
            <w:tcW w:type="dxa" w:w="1701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  <w:tc>
          <w:tcPr>
            <w:tcW w:type="dxa" w:w="3402"/>
          </w:tcPr>
          <w:p>
            <w:pPr>
              <w:spacing w:after="20"/>
            </w:pPr>
            <w:r/>
            <w:r>
              <w:rPr>
                <w:rFonts w:ascii="Arial" w:hAnsi="Arial" w:eastAsia="Arial"/>
                <w:b w:val="0"/>
                <w:i w:val="0"/>
                <w:sz w:val="18"/>
              </w:rPr>
            </w:r>
          </w:p>
        </w:tc>
      </w:tr>
    </w:tbl>
    <w:p>
      <w:pPr>
        <w:spacing w:after="0" w:before="0"/>
      </w:pPr>
      <w:r>
        <w:rPr>
          <w:rFonts w:ascii="Arial" w:hAnsi="Arial" w:eastAsia="Arial"/>
          <w:sz w:val="8"/>
        </w:rPr>
        <w:t xml:space="preserve"> </w:t>
      </w:r>
    </w:p>
    <w:p>
      <w:r>
        <w:rPr>
          <w:rFonts w:ascii="Arial" w:hAnsi="Arial" w:eastAsia="Arial"/>
          <w:i/>
          <w:color w:val="6B7280"/>
          <w:sz w:val="17"/>
        </w:rPr>
        <w:t>Źródła: Gartner, The CIO and Technology Executive Agenda for 2026 (ponad 2500 CIO); Foundry, State of the CIO 2026 (662 szefów IT); gov.pl, nowelizacja ustawy o KSC; Clifford Chance, briefing NIS2 (marzec 2026); KPMG Polska, dyrektywa NIS 2 i nowa ustawa o KSC.</w:t>
      </w:r>
    </w:p>
    <w:sectPr w:rsidR="00FC693F" w:rsidRPr="0006063C" w:rsidSect="00034616">
      <w:footerReference w:type="default" r:id="rId9"/>
      <w:pgSz w:w="11906" w:h="16838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left"/>
    </w:pPr>
    <w:r>
      <w:rPr>
        <w:rFonts w:ascii="Arial" w:hAnsi="Arial" w:eastAsia="Arial"/>
        <w:color w:val="6B7280"/>
        <w:sz w:val="16"/>
      </w:rPr>
      <w:t xml:space="preserve">Materiały do artykułu „Jak ocenić kandydata na dyrektora IT: 10 pytań dla zarządu i rekruterów”   |   </w:t>
    </w:r>
    <w:r>
      <w:rPr>
        <w:rFonts w:ascii="Arial" w:hAnsi="Arial" w:eastAsia="Arial"/>
        <w:color w:val="6B7280"/>
        <w:sz w:val="16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/>
    </w:pPr>
    <w:rPr>
      <w:rFonts w:ascii="Arial" w:hAnsi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40" w:after="80"/>
      <w:outlineLvl w:val="0"/>
    </w:pPr>
    <w:rPr>
      <w:rFonts w:ascii="Arial" w:hAnsi="Arial" w:eastAsia="Arial" w:cs="Arial"/>
      <w:b/>
      <w:bCs/>
      <w:color w:val="1F3A5F"/>
      <w:sz w:val="2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60" w:after="80"/>
      <w:outlineLvl w:val="1"/>
    </w:pPr>
    <w:rPr>
      <w:rFonts w:ascii="Arial" w:hAnsi="Arial" w:eastAsia="Arial" w:cs="Arial"/>
      <w:b/>
      <w:bCs/>
      <w:color w:val="1F3A5F"/>
      <w:sz w:val="2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  <w:rPr>
      <w:rFonts w:ascii="Arial" w:hAnsi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Brief z zarządem: dyrektor IT</dc:title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